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40" w:before="68" w:after="136"/>
        <w:jc w:val="both"/>
        <w:rPr>
          <w:lang w:val="ru-RU"/>
        </w:rPr>
      </w:pPr>
      <w:r>
        <w:rPr>
          <w:rFonts w:ascii="Times New Roman CYR" w:hAnsi="Times New Roman CYR"/>
          <w:color w:val="555555"/>
          <w:sz w:val="24"/>
          <w:u w:val="single"/>
          <w:lang w:val="ru-RU"/>
        </w:rPr>
        <w:t>Раскрытие информации</w:t>
      </w:r>
    </w:p>
    <w:p>
      <w:pPr>
        <w:pStyle w:val="Normal"/>
        <w:spacing w:lineRule="atLeast" w:line="340" w:before="68" w:after="136"/>
        <w:jc w:val="both"/>
        <w:rPr>
          <w:lang w:val="ru-RU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ООО “Аудит БТ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 xml:space="preserve">» 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имеет организационно-правовую форму общества с ограниченной ответственностью. Уставный капитал принадлежит резиденту Российской Федерации, аттестованного аудитора и составляется 100%.</w:t>
      </w:r>
    </w:p>
    <w:p>
      <w:pPr>
        <w:pStyle w:val="Normal"/>
        <w:spacing w:lineRule="atLeast" w:line="340" w:before="68" w:after="136"/>
        <w:jc w:val="both"/>
        <w:rPr>
          <w:lang w:val="ru-RU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Руководство оперативной деятельностью осуществляет Генеральный директор.</w:t>
      </w:r>
    </w:p>
    <w:p>
      <w:pPr>
        <w:pStyle w:val="Normal"/>
        <w:spacing w:lineRule="atLeast" w:line="340" w:before="68" w:after="136"/>
        <w:jc w:val="both"/>
        <w:rPr>
          <w:lang w:val="ru-RU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 xml:space="preserve">Аудиторская деятельность, осуществляемая ООО 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«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Аудит БТ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 xml:space="preserve">», 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полностью соответствует действующему законодательству и основывается на Международных стандартах аудита.</w:t>
      </w:r>
    </w:p>
    <w:p>
      <w:pPr>
        <w:pStyle w:val="Normal"/>
        <w:spacing w:lineRule="atLeast" w:line="340" w:before="68" w:after="136"/>
        <w:jc w:val="both"/>
        <w:rPr>
          <w:lang w:val="ru-RU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 xml:space="preserve">ООО 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«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Аудит БТ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 xml:space="preserve">» 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 xml:space="preserve">является членом Саморегулируемой организации аудиторов  Ассоциация 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«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Содружество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» (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СРО ААС), внесенной в государственный реестр СРО аудиторов.</w:t>
      </w:r>
    </w:p>
    <w:p>
      <w:pPr>
        <w:pStyle w:val="Normal"/>
        <w:spacing w:lineRule="atLeast" w:line="340" w:before="68" w:after="136"/>
        <w:jc w:val="both"/>
        <w:rPr/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 xml:space="preserve">ООО 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«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Аудит БТ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 xml:space="preserve">» 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включено в государственный реестр аудиторских организаций – членов РОС, регистрационный номер ОРНЗ – 11606053588. Информация о присвоении регистрационного номера в государственном реестре аудиторских организаций опубликована на сайте Минфина России (</w:t>
      </w:r>
      <w:hyperlink r:id="rId2">
        <w:r>
          <w:rPr>
            <w:rStyle w:val="ListLabel3"/>
            <w:rFonts w:ascii="Times New Roman CYR" w:hAnsi="Times New Roman CYR"/>
            <w:color w:val="0000FF"/>
            <w:sz w:val="24"/>
            <w:u w:val="none"/>
            <w:lang w:val="ru-RU"/>
          </w:rPr>
          <w:t>www</w:t>
        </w:r>
        <w:r>
          <w:rPr>
            <w:rStyle w:val="ListLabel3"/>
            <w:rFonts w:ascii="Times New Roman" w:hAnsi="Times New Roman"/>
            <w:vanish/>
            <w:color w:val="0000FF"/>
            <w:sz w:val="24"/>
            <w:u w:val="none"/>
            <w:lang w:val="en"/>
          </w:rPr>
          <w:t>HYPERLINK "http://www.minfin.ru/"</w:t>
        </w:r>
        <w:r>
          <w:rPr>
            <w:rStyle w:val="ListLabel3"/>
            <w:rFonts w:ascii="Times New Roman" w:hAnsi="Times New Roman"/>
            <w:vanish w:val="false"/>
            <w:color w:val="0000FF"/>
            <w:sz w:val="24"/>
            <w:u w:val="none"/>
            <w:lang w:val="en"/>
          </w:rPr>
          <w:t>.</w:t>
        </w:r>
        <w:r>
          <w:rPr>
            <w:rStyle w:val="ListLabel3"/>
            <w:rFonts w:ascii="Times New Roman" w:hAnsi="Times New Roman"/>
            <w:vanish/>
            <w:color w:val="0000FF"/>
            <w:sz w:val="24"/>
            <w:u w:val="none"/>
            <w:lang w:val="en"/>
          </w:rPr>
          <w:t>HYPERLINK "http://www.minfin.ru/"</w:t>
        </w:r>
        <w:r>
          <w:rPr>
            <w:rStyle w:val="ListLabel3"/>
            <w:rFonts w:ascii="Times New Roman" w:hAnsi="Times New Roman"/>
            <w:vanish w:val="false"/>
            <w:color w:val="0000FF"/>
            <w:sz w:val="24"/>
            <w:u w:val="none"/>
            <w:lang w:val="en"/>
          </w:rPr>
          <w:t>minfin.ru</w:t>
        </w:r>
      </w:hyperlink>
      <w:r>
        <w:rPr>
          <w:rFonts w:ascii="Times New Roman" w:hAnsi="Times New Roman"/>
          <w:color w:val="555555"/>
          <w:sz w:val="24"/>
          <w:u w:val="none"/>
          <w:lang w:val="ru-RU"/>
        </w:rPr>
        <w:t xml:space="preserve"> ). </w:t>
      </w:r>
    </w:p>
    <w:p>
      <w:pPr>
        <w:pStyle w:val="Normal"/>
        <w:spacing w:lineRule="atLeast" w:line="340" w:before="68" w:after="136"/>
        <w:jc w:val="both"/>
        <w:rPr>
          <w:lang w:val="ru-RU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 xml:space="preserve">Профессиональный риск ООО 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«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Аудит БТ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 xml:space="preserve">» 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 xml:space="preserve">застрахован в СПАО 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«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РЕСО-Гарантия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 xml:space="preserve">», 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страховая сумма составляет 5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 000 000,00 (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Пять миллионов) рублей.</w:t>
      </w:r>
    </w:p>
    <w:p>
      <w:pPr>
        <w:pStyle w:val="Normal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В компании создана и функционирует эффективная система внутреннего контроля, соответствующая масштабам деятельности компании и Международным стандартам аудита.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 </w:t>
      </w:r>
    </w:p>
    <w:p>
      <w:pPr>
        <w:pStyle w:val="Normal"/>
        <w:jc w:val="both"/>
        <w:rPr>
          <w:rFonts w:ascii="Times New Roman" w:hAnsi="Times New Roman"/>
          <w:color w:val="555555"/>
          <w:sz w:val="24"/>
          <w:u w:val="none"/>
          <w:lang w:val="en"/>
        </w:rPr>
      </w:pPr>
      <w:r>
        <w:rPr>
          <w:rFonts w:ascii="Times New Roman" w:hAnsi="Times New Roman"/>
          <w:color w:val="555555"/>
          <w:sz w:val="24"/>
          <w:u w:val="none"/>
          <w:lang w:val="en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Для обеспечения качества и соблюдения Международного стандарта по контролю качества, национальных требований законодательства по контролю качества: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компанией установлены внутренними документами принципы и процедуры, способствующие обеспечению высокого качества услуг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обязанности руководителей установлены таким образом, чтобы коммерческие цели не преобладали над качеством выполняемой работы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регулярно проводятся обучающие мероприятия, направленные на повышение качества выполнения заданий и профессиональной компетентности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оценка работы, оплата труда и повышение в должности работников основываются на качестве выполнения заданий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в достаточном объеме направляются средства на развитие и документирование принципов и процедур контроля качества услуг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ответственность за эффективное функционирование системы внутреннего контроля возложено на генерального директора компании.</w:t>
      </w:r>
    </w:p>
    <w:p>
      <w:pPr>
        <w:pStyle w:val="Normal"/>
        <w:jc w:val="both"/>
        <w:rPr>
          <w:u w:val="none"/>
        </w:rPr>
      </w:pPr>
      <w:r>
        <w:rPr>
          <w:rFonts w:ascii="Times New Roman CYR" w:hAnsi="Times New Roman CYR"/>
          <w:color w:val="333333"/>
          <w:sz w:val="24"/>
          <w:u w:val="none"/>
          <w:lang w:val="ru-RU"/>
        </w:rPr>
        <w:t>При выполнении аудиторских заданий компания руководствуется требованиями Кодекса профессиональной этики аудиторов (одобрен Советом по аудиторской деятельности 22 марта 2012 г.), а также Правилами независимости аудиторов и аудиторских организаций (одобрены Советом по аудиторской деятельности 20 сентября 2012 г.) и соблюдает независимость по отношению к заказчикам аудиторских услуг, которая выражается в независимости мнения и внешней независимости.</w:t>
      </w:r>
      <w:r>
        <w:rPr>
          <w:rFonts w:ascii="Times New Roman" w:hAnsi="Times New Roman"/>
          <w:color w:val="333333"/>
          <w:sz w:val="24"/>
          <w:u w:val="none"/>
          <w:lang w:val="en-US"/>
        </w:rPr>
        <w:t> </w:t>
      </w:r>
    </w:p>
    <w:p>
      <w:pPr>
        <w:pStyle w:val="Normal"/>
        <w:jc w:val="both"/>
        <w:rPr>
          <w:rFonts w:ascii="Times New Roman" w:hAnsi="Times New Roman"/>
          <w:color w:val="333333"/>
          <w:sz w:val="24"/>
          <w:u w:val="none"/>
          <w:lang w:val="en"/>
        </w:rPr>
      </w:pPr>
      <w:r>
        <w:rPr>
          <w:rFonts w:ascii="Times New Roman" w:hAnsi="Times New Roman"/>
          <w:color w:val="333333"/>
          <w:sz w:val="24"/>
          <w:u w:val="none"/>
          <w:lang w:val="en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 CYR" w:hAnsi="Times New Roman CYR"/>
          <w:color w:val="333333"/>
          <w:sz w:val="24"/>
          <w:u w:val="none"/>
          <w:lang w:val="ru-RU"/>
        </w:rPr>
        <w:t>Внутренняя проверка соблюдения независимости проводится периодически во время мониторинга системы внутреннего контроля.</w:t>
      </w:r>
      <w:r>
        <w:rPr>
          <w:rFonts w:ascii="Times New Roman" w:hAnsi="Times New Roman"/>
          <w:color w:val="333333"/>
          <w:sz w:val="24"/>
          <w:u w:val="none"/>
          <w:lang w:val="en-US"/>
        </w:rPr>
        <w:t> </w:t>
      </w:r>
    </w:p>
    <w:p>
      <w:pPr>
        <w:pStyle w:val="Normal"/>
        <w:jc w:val="both"/>
        <w:rPr>
          <w:rFonts w:ascii="Times New Roman" w:hAnsi="Times New Roman"/>
          <w:color w:val="333333"/>
          <w:sz w:val="24"/>
          <w:u w:val="none"/>
          <w:lang w:val="en"/>
        </w:rPr>
      </w:pPr>
      <w:r>
        <w:rPr>
          <w:rFonts w:ascii="Times New Roman" w:hAnsi="Times New Roman"/>
          <w:color w:val="333333"/>
          <w:sz w:val="24"/>
          <w:u w:val="none"/>
          <w:lang w:val="en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 CYR" w:hAnsi="Times New Roman CYR"/>
          <w:color w:val="333333"/>
          <w:sz w:val="24"/>
          <w:u w:val="none"/>
          <w:lang w:val="ru-RU"/>
        </w:rPr>
        <w:t>Все аудиторы компании проходят ежегодное обучение по программам повышения квалификации, установленное частью 9 статьи 11 Федерального закона "Об аудиторской деятельности".</w:t>
      </w:r>
      <w:r>
        <w:rPr>
          <w:rFonts w:ascii="Times New Roman" w:hAnsi="Times New Roman"/>
          <w:color w:val="333333"/>
          <w:sz w:val="24"/>
          <w:u w:val="none"/>
          <w:lang w:val="en-US"/>
        </w:rPr>
        <w:t> </w:t>
      </w:r>
    </w:p>
    <w:p>
      <w:pPr>
        <w:pStyle w:val="Normal"/>
        <w:jc w:val="both"/>
        <w:rPr>
          <w:rFonts w:ascii="Times New Roman" w:hAnsi="Times New Roman"/>
          <w:color w:val="333333"/>
          <w:sz w:val="24"/>
          <w:u w:val="none"/>
          <w:lang w:val="en"/>
        </w:rPr>
      </w:pPr>
      <w:r>
        <w:rPr>
          <w:rFonts w:ascii="Times New Roman" w:hAnsi="Times New Roman"/>
          <w:color w:val="333333"/>
          <w:sz w:val="24"/>
          <w:u w:val="none"/>
          <w:lang w:val="en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 CYR" w:hAnsi="Times New Roman CYR"/>
          <w:color w:val="333333"/>
          <w:sz w:val="24"/>
          <w:u w:val="none"/>
          <w:lang w:val="ru-RU"/>
        </w:rPr>
        <w:t>Выручка ООО "Аудит БТ" за 2018 год составила 10 877 тыс. руб., в том числе: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от проведения аудита бухгалтерской (финансовой) отчетности организаций – 7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 577 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тыс. руб., в том числе от аудита общественно значимых организаций - 150 тыс. руб.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>от предоставления прочих связанных с аудиторской деятельностью услуг – 3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 300 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тыс. руб.</w:t>
      </w:r>
    </w:p>
    <w:p>
      <w:pPr>
        <w:pStyle w:val="Normal"/>
        <w:jc w:val="both"/>
        <w:rPr>
          <w:u w:val="none"/>
        </w:rPr>
      </w:pPr>
      <w:r>
        <w:rPr>
          <w:rFonts w:ascii="Times New Roman CYR" w:hAnsi="Times New Roman CYR"/>
          <w:color w:val="333333"/>
          <w:sz w:val="24"/>
          <w:u w:val="none"/>
          <w:lang w:val="ru-RU"/>
        </w:rPr>
        <w:t>В течение 2017-2018 гг. компания провела аудит одного общественно-значимых организаций, перечисленных в части 3 ст. 5 Федерального закона № 307-ФЗ: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before="100" w:after="100"/>
        <w:ind w:left="720" w:hanging="360"/>
        <w:jc w:val="both"/>
        <w:rPr>
          <w:u w:val="none"/>
        </w:rPr>
      </w:pPr>
      <w:r>
        <w:rPr>
          <w:rFonts w:ascii="Times New Roman CYR" w:hAnsi="Times New Roman CYR"/>
          <w:color w:val="555555"/>
          <w:sz w:val="24"/>
          <w:u w:val="none"/>
          <w:lang w:val="ru-RU"/>
        </w:rPr>
        <w:t xml:space="preserve">ООО 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«</w:t>
      </w:r>
      <w:r>
        <w:rPr>
          <w:rFonts w:ascii="Times New Roman CYR" w:hAnsi="Times New Roman CYR"/>
          <w:color w:val="555555"/>
          <w:sz w:val="24"/>
          <w:u w:val="none"/>
          <w:lang w:val="ru-RU"/>
        </w:rPr>
        <w:t>РСГ-Финанс</w:t>
      </w:r>
      <w:r>
        <w:rPr>
          <w:rFonts w:ascii="Times New Roman" w:hAnsi="Times New Roman"/>
          <w:color w:val="555555"/>
          <w:sz w:val="24"/>
          <w:u w:val="none"/>
          <w:lang w:val="en-US"/>
        </w:rPr>
        <w:t>».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 CYR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Times New Roman CYR" w:hAnsi="Times New Roman CYR"/>
      <w:color w:val="0000FF"/>
      <w:sz w:val="24"/>
      <w:u w:val="single"/>
      <w:lang w:val="ru-RU"/>
    </w:rPr>
  </w:style>
  <w:style w:type="character" w:styleId="ListLabel2">
    <w:name w:val="ListLabel 2"/>
    <w:qFormat/>
    <w:rPr>
      <w:rFonts w:ascii="Times New Roman" w:hAnsi="Times New Roman"/>
      <w:vanish/>
      <w:color w:val="0000FF"/>
      <w:sz w:val="24"/>
      <w:u w:val="single"/>
      <w:lang w:val="en"/>
    </w:rPr>
  </w:style>
  <w:style w:type="character" w:styleId="ListLabel3">
    <w:name w:val="ListLabel 3"/>
    <w:qFormat/>
    <w:rPr>
      <w:rFonts w:ascii="Times New Roman" w:hAnsi="Times New Roman"/>
      <w:vanish w:val="false"/>
      <w:color w:val="0000FF"/>
      <w:sz w:val="24"/>
      <w:u w:val="single"/>
      <w:lang w:val="e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Times New Roman CYR" w:hAnsi="Times New Roman CYR"/>
      <w:color w:val="0000FF"/>
      <w:sz w:val="24"/>
      <w:u w:val="single"/>
      <w:lang w:val="ru-RU"/>
    </w:rPr>
  </w:style>
  <w:style w:type="character" w:styleId="ListLabel6">
    <w:name w:val="ListLabel 6"/>
    <w:qFormat/>
    <w:rPr>
      <w:rFonts w:ascii="Times New Roman" w:hAnsi="Times New Roman"/>
      <w:vanish/>
      <w:color w:val="0000FF"/>
      <w:sz w:val="24"/>
      <w:u w:val="single"/>
      <w:lang w:val="en"/>
    </w:rPr>
  </w:style>
  <w:style w:type="character" w:styleId="ListLabel7">
    <w:name w:val="ListLabel 7"/>
    <w:qFormat/>
    <w:rPr>
      <w:rFonts w:ascii="Times New Roman" w:hAnsi="Times New Roman"/>
      <w:vanish w:val="false"/>
      <w:color w:val="0000FF"/>
      <w:sz w:val="24"/>
      <w:u w:val="single"/>
      <w:lang w:val="e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fin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 LibreOffice_project/efb621ed25068d70781dc026f7e9c5187a4decd1</Application>
  <Pages>2</Pages>
  <Words>393</Words>
  <Characters>2918</Characters>
  <CharactersWithSpaces>3289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2019-06-26T18:49:18Z</dcterms:modified>
  <cp:revision>1</cp:revision>
  <dc:subject/>
  <dc:title/>
</cp:coreProperties>
</file>